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10793" w14:textId="216A6CB6" w:rsidR="00A53B82" w:rsidRDefault="0078435F">
      <w:pPr>
        <w:rPr>
          <w:rFonts w:ascii="ADLaM Display" w:hAnsi="ADLaM Display" w:cs="ADLaM Display"/>
          <w:sz w:val="36"/>
          <w:szCs w:val="36"/>
        </w:rPr>
      </w:pPr>
      <w:r>
        <w:rPr>
          <w:rFonts w:ascii="ADLaM Display" w:hAnsi="ADLaM Display" w:cs="ADLaM Display"/>
          <w:sz w:val="36"/>
          <w:szCs w:val="36"/>
        </w:rPr>
        <w:t>Teachers’ toolkit</w:t>
      </w:r>
    </w:p>
    <w:p w14:paraId="1D5E06CC" w14:textId="6A59B45E" w:rsidR="00B23188" w:rsidRPr="0078435F" w:rsidRDefault="00136EB7">
      <w:pPr>
        <w:rPr>
          <w:rFonts w:ascii="ADLaM Display" w:hAnsi="ADLaM Display" w:cs="ADLaM Display"/>
          <w:sz w:val="36"/>
          <w:szCs w:val="36"/>
        </w:rPr>
      </w:pPr>
      <w:r>
        <w:rPr>
          <w:rFonts w:ascii="ADLaM Display" w:hAnsi="ADLaM Display" w:cs="ADLaM Display"/>
          <w:sz w:val="36"/>
          <w:szCs w:val="36"/>
        </w:rPr>
        <w:t xml:space="preserve">Lesson </w:t>
      </w:r>
      <w:r w:rsidR="00DB4DCF">
        <w:rPr>
          <w:rFonts w:ascii="ADLaM Display" w:hAnsi="ADLaM Display" w:cs="ADLaM Display"/>
          <w:sz w:val="36"/>
          <w:szCs w:val="36"/>
        </w:rPr>
        <w:t>2: Character design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78435F" w14:paraId="42B9F6F1" w14:textId="77777777" w:rsidTr="0078435F">
        <w:tc>
          <w:tcPr>
            <w:tcW w:w="1555" w:type="dxa"/>
          </w:tcPr>
          <w:p w14:paraId="4154AD9E" w14:textId="2FDA6172" w:rsidR="0078435F" w:rsidRDefault="0078435F" w:rsidP="00FC230C">
            <w:pPr>
              <w:rPr>
                <w:rFonts w:ascii="Segoe UI Variable Text" w:hAnsi="Segoe UI Variable Text"/>
              </w:rPr>
            </w:pPr>
            <w:r w:rsidRPr="0078435F">
              <w:rPr>
                <w:rFonts w:ascii="Segoe UI Variable Text" w:hAnsi="Segoe UI Variable Text"/>
                <w:sz w:val="20"/>
                <w:szCs w:val="20"/>
              </w:rPr>
              <w:t>Objectives</w:t>
            </w:r>
          </w:p>
        </w:tc>
        <w:tc>
          <w:tcPr>
            <w:tcW w:w="7461" w:type="dxa"/>
          </w:tcPr>
          <w:p w14:paraId="68954D0E" w14:textId="460E5FEE" w:rsidR="0078435F" w:rsidRPr="0078435F" w:rsidRDefault="00DB4DCF" w:rsidP="0078435F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Plan characters and comic</w:t>
            </w:r>
            <w:r>
              <w:rPr>
                <w:rFonts w:ascii="Segoe UI Variable Text" w:hAnsi="Segoe UI Variable Text"/>
                <w:sz w:val="20"/>
                <w:szCs w:val="20"/>
              </w:rPr>
              <w:t>s</w:t>
            </w:r>
            <w:r w:rsidR="00136EB7" w:rsidRPr="00136EB7">
              <w:rPr>
                <w:rFonts w:ascii="Segoe UI Variable Text" w:hAnsi="Segoe UI Variable Text"/>
                <w:sz w:val="20"/>
                <w:szCs w:val="20"/>
              </w:rPr>
              <w:t>.</w:t>
            </w:r>
          </w:p>
        </w:tc>
      </w:tr>
      <w:tr w:rsidR="0078435F" w14:paraId="37C5735C" w14:textId="77777777" w:rsidTr="0078435F">
        <w:tc>
          <w:tcPr>
            <w:tcW w:w="1555" w:type="dxa"/>
          </w:tcPr>
          <w:p w14:paraId="6EB676E7" w14:textId="0BA9650B" w:rsidR="0078435F" w:rsidRPr="0078435F" w:rsidRDefault="0078435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Link to specification</w:t>
            </w:r>
          </w:p>
        </w:tc>
        <w:tc>
          <w:tcPr>
            <w:tcW w:w="7461" w:type="dxa"/>
          </w:tcPr>
          <w:p w14:paraId="1CF50EC0" w14:textId="77777777" w:rsidR="00DB4DCF" w:rsidRPr="00DB4DCF" w:rsidRDefault="00DB4DCF" w:rsidP="00DB4DCF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 xml:space="preserve">This lesson provides students with an introduction into characters, different types and their features. </w:t>
            </w:r>
          </w:p>
          <w:p w14:paraId="386DCF15" w14:textId="77777777" w:rsidR="0078435F" w:rsidRDefault="00DB4DCF" w:rsidP="00136EB7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Students will begin to make an interpretation of a character that will meet the client brief. The initial ideas will be displayed as part of a mind map and elaborated through a write-up, both contributing to Task 1a.</w:t>
            </w:r>
          </w:p>
          <w:p w14:paraId="68FC729A" w14:textId="005F3557" w:rsidR="00DB4DCF" w:rsidRPr="00136EB7" w:rsidRDefault="00DB4DCF" w:rsidP="00136EB7">
            <w:pPr>
              <w:pStyle w:val="ListParagraph"/>
              <w:numPr>
                <w:ilvl w:val="0"/>
                <w:numId w:val="8"/>
              </w:num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Specification strand 1.1 Character features and conventions</w:t>
            </w:r>
          </w:p>
        </w:tc>
      </w:tr>
    </w:tbl>
    <w:p w14:paraId="53452A66" w14:textId="77777777" w:rsidR="00FC230C" w:rsidRDefault="00FC230C" w:rsidP="00FC230C">
      <w:pPr>
        <w:rPr>
          <w:rFonts w:ascii="Segoe UI Variable Text" w:hAnsi="Segoe UI Variable Text"/>
        </w:rPr>
      </w:pPr>
    </w:p>
    <w:p w14:paraId="42F6CF4D" w14:textId="7DD478AA" w:rsidR="0078435F" w:rsidRPr="0078435F" w:rsidRDefault="0078435F" w:rsidP="00FC230C">
      <w:pPr>
        <w:rPr>
          <w:rFonts w:ascii="ADLaM Display" w:hAnsi="ADLaM Display" w:cs="ADLaM Display"/>
          <w:sz w:val="28"/>
          <w:szCs w:val="28"/>
        </w:rPr>
      </w:pPr>
      <w:r w:rsidRPr="0078435F">
        <w:rPr>
          <w:rFonts w:ascii="ADLaM Display" w:hAnsi="ADLaM Display" w:cs="ADLaM Display"/>
          <w:sz w:val="28"/>
          <w:szCs w:val="28"/>
        </w:rPr>
        <w:t>Slide deck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78435F" w14:paraId="15F0DA28" w14:textId="77777777" w:rsidTr="0078435F">
        <w:tc>
          <w:tcPr>
            <w:tcW w:w="1555" w:type="dxa"/>
          </w:tcPr>
          <w:p w14:paraId="0EC53501" w14:textId="771465D0" w:rsidR="0078435F" w:rsidRPr="0078435F" w:rsidRDefault="0078435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Slide 1</w:t>
            </w:r>
          </w:p>
        </w:tc>
        <w:tc>
          <w:tcPr>
            <w:tcW w:w="7461" w:type="dxa"/>
          </w:tcPr>
          <w:p w14:paraId="0EE45653" w14:textId="340B69DB" w:rsidR="0078435F" w:rsidRDefault="00DB4DCF" w:rsidP="0078435F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Students identify the different characters and notice that this is what they all have in common.</w:t>
            </w:r>
          </w:p>
          <w:p w14:paraId="3E8F2E52" w14:textId="21F766AA" w:rsidR="00136EB7" w:rsidRPr="0078435F" w:rsidRDefault="00136EB7" w:rsidP="0078435F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78435F" w14:paraId="234A62AF" w14:textId="77777777" w:rsidTr="0078435F">
        <w:tc>
          <w:tcPr>
            <w:tcW w:w="1555" w:type="dxa"/>
          </w:tcPr>
          <w:p w14:paraId="1961A18E" w14:textId="6EB92811" w:rsidR="0078435F" w:rsidRPr="0078435F" w:rsidRDefault="0078435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Slide 4</w:t>
            </w:r>
          </w:p>
        </w:tc>
        <w:tc>
          <w:tcPr>
            <w:tcW w:w="7461" w:type="dxa"/>
          </w:tcPr>
          <w:p w14:paraId="350A8F38" w14:textId="77777777" w:rsidR="0078435F" w:rsidRDefault="00DB4DC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This introduces students to different character types and are given examples that they match up</w:t>
            </w:r>
          </w:p>
          <w:p w14:paraId="517F7F7B" w14:textId="2BAECA67" w:rsidR="00DB4DCF" w:rsidRDefault="00DB4DC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78435F" w14:paraId="4238C3CB" w14:textId="77777777" w:rsidTr="0078435F">
        <w:tc>
          <w:tcPr>
            <w:tcW w:w="1555" w:type="dxa"/>
          </w:tcPr>
          <w:p w14:paraId="04DC1036" w14:textId="6C8B5205" w:rsidR="0078435F" w:rsidRDefault="0078435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Slide</w:t>
            </w:r>
            <w:r w:rsidR="00DB4DCF">
              <w:rPr>
                <w:rFonts w:ascii="Segoe UI Variable Text" w:hAnsi="Segoe UI Variable Text"/>
                <w:sz w:val="20"/>
                <w:szCs w:val="20"/>
              </w:rPr>
              <w:t>s 6-8</w:t>
            </w:r>
          </w:p>
        </w:tc>
        <w:tc>
          <w:tcPr>
            <w:tcW w:w="7461" w:type="dxa"/>
          </w:tcPr>
          <w:p w14:paraId="09F7869F" w14:textId="7E51DA51" w:rsidR="00136EB7" w:rsidRDefault="00DB4DC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These provide worked examples for each character type and their associated characteristics using the example characters provided.</w:t>
            </w:r>
          </w:p>
          <w:p w14:paraId="6D524659" w14:textId="77777777" w:rsidR="00136EB7" w:rsidRDefault="00136EB7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0966A79C" w14:textId="327D7080" w:rsidR="00136EB7" w:rsidRDefault="00136EB7" w:rsidP="00136EB7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</w:tc>
      </w:tr>
      <w:tr w:rsidR="0078435F" w14:paraId="6887FC73" w14:textId="77777777" w:rsidTr="0078435F">
        <w:tc>
          <w:tcPr>
            <w:tcW w:w="1555" w:type="dxa"/>
          </w:tcPr>
          <w:p w14:paraId="4833D3FD" w14:textId="3A91098D" w:rsidR="0078435F" w:rsidRDefault="0078435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Slide </w:t>
            </w:r>
            <w:r w:rsidR="00DB4DCF">
              <w:rPr>
                <w:rFonts w:ascii="Segoe UI Variable Text" w:hAnsi="Segoe UI Variable Text"/>
                <w:sz w:val="20"/>
                <w:szCs w:val="20"/>
              </w:rPr>
              <w:t>9</w:t>
            </w:r>
          </w:p>
        </w:tc>
        <w:tc>
          <w:tcPr>
            <w:tcW w:w="7461" w:type="dxa"/>
          </w:tcPr>
          <w:p w14:paraId="3EA27638" w14:textId="77777777" w:rsidR="0078435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Students are expected to apply the underpinning knowledge taught from the previous slides by identifying the type of character the hulk is and describing some of his characteristics. </w:t>
            </w:r>
          </w:p>
          <w:p w14:paraId="3E872CF5" w14:textId="77777777" w:rsid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07587B89" w14:textId="28D40D11" w:rsidR="00DB4DCF" w:rsidRP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You may want to print the example slides out and provide these to the students to reduce their cognitive load. </w:t>
            </w:r>
          </w:p>
        </w:tc>
      </w:tr>
      <w:tr w:rsidR="00DB4DCF" w14:paraId="5CABC6D0" w14:textId="77777777" w:rsidTr="0078435F">
        <w:tc>
          <w:tcPr>
            <w:tcW w:w="1555" w:type="dxa"/>
          </w:tcPr>
          <w:p w14:paraId="49CA2DA7" w14:textId="314FDD23" w:rsidR="00DB4DCF" w:rsidRDefault="00DB4DC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Slide 10 </w:t>
            </w:r>
          </w:p>
        </w:tc>
        <w:tc>
          <w:tcPr>
            <w:tcW w:w="7461" w:type="dxa"/>
          </w:tcPr>
          <w:p w14:paraId="6C4636A8" w14:textId="6F338D7E" w:rsid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 xml:space="preserve">Building on the Hulk example, character features are identified and applied. </w:t>
            </w:r>
          </w:p>
        </w:tc>
      </w:tr>
      <w:tr w:rsidR="00DB4DCF" w14:paraId="5A652214" w14:textId="77777777" w:rsidTr="0078435F">
        <w:tc>
          <w:tcPr>
            <w:tcW w:w="1555" w:type="dxa"/>
          </w:tcPr>
          <w:p w14:paraId="5E70181F" w14:textId="23907B74" w:rsidR="00DB4DCF" w:rsidRDefault="00DB4DC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Slide 13</w:t>
            </w:r>
          </w:p>
        </w:tc>
        <w:tc>
          <w:tcPr>
            <w:tcW w:w="7461" w:type="dxa"/>
          </w:tcPr>
          <w:p w14:paraId="0D5A4065" w14:textId="794FEF80" w:rsid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This provides some guidance on the write-up section of the interpretation; however, a separate guidance document has been provided for this.</w:t>
            </w:r>
          </w:p>
        </w:tc>
      </w:tr>
      <w:tr w:rsidR="0078435F" w14:paraId="50CA7BBC" w14:textId="77777777" w:rsidTr="0078435F">
        <w:tc>
          <w:tcPr>
            <w:tcW w:w="1555" w:type="dxa"/>
          </w:tcPr>
          <w:p w14:paraId="329CB770" w14:textId="0478DB08" w:rsidR="0078435F" w:rsidRDefault="00136EB7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NEA Scrapbook</w:t>
            </w:r>
          </w:p>
        </w:tc>
        <w:tc>
          <w:tcPr>
            <w:tcW w:w="7461" w:type="dxa"/>
          </w:tcPr>
          <w:p w14:paraId="2577A5E6" w14:textId="2CA0A3C7" w:rsid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Mind map</w:t>
            </w:r>
          </w:p>
          <w:p w14:paraId="6806F515" w14:textId="4344121C" w:rsidR="00DB4DCF" w:rsidRPr="00DB4DCF" w:rsidRDefault="00DB4DCF" w:rsidP="00DB4DCF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Students are given a mind map template that they can populate throughout the first few lessons.</w:t>
            </w:r>
          </w:p>
          <w:p w14:paraId="6DF51FA3" w14:textId="77777777" w:rsidR="00DB4DCF" w:rsidRPr="00DB4DCF" w:rsidRDefault="00DB4DCF" w:rsidP="00DB4DCF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For this lesson only, students focus on the green section as it ties in with the content of the lesson.</w:t>
            </w:r>
          </w:p>
          <w:p w14:paraId="6FCB9777" w14:textId="77777777" w:rsidR="00DB4DCF" w:rsidRPr="00DB4DCF" w:rsidRDefault="00DB4DCF" w:rsidP="00DB4DCF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The ideas will be brief and will be extended in the write-up section.</w:t>
            </w:r>
          </w:p>
          <w:p w14:paraId="65B7AE25" w14:textId="77777777" w:rsidR="0078435F" w:rsidRDefault="00DB4DCF" w:rsidP="00DB4DCF">
            <w:pPr>
              <w:pStyle w:val="ListParagraph"/>
              <w:numPr>
                <w:ilvl w:val="0"/>
                <w:numId w:val="11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 xml:space="preserve">The mind map will help students to present their own visual ideas and move towards providing an adequate interpretation. However, this alone would not achieve MB2. </w:t>
            </w:r>
          </w:p>
          <w:p w14:paraId="40DC5E28" w14:textId="77777777" w:rsidR="00DB4DCF" w:rsidRDefault="00DB4DCF" w:rsidP="00DB4DCF">
            <w:pPr>
              <w:pStyle w:val="ListParagraph"/>
              <w:rPr>
                <w:rFonts w:ascii="Segoe UI Variable Text" w:hAnsi="Segoe UI Variable Text"/>
                <w:sz w:val="20"/>
                <w:szCs w:val="20"/>
              </w:rPr>
            </w:pPr>
          </w:p>
          <w:p w14:paraId="27BD3C3C" w14:textId="4E418666" w:rsid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t>Write-up of the interpretation</w:t>
            </w:r>
          </w:p>
          <w:p w14:paraId="4F9BDD17" w14:textId="77777777" w:rsidR="00DB4DCF" w:rsidRPr="00DB4DCF" w:rsidRDefault="00DB4DCF" w:rsidP="00DB4DCF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The second part will be a write-up which is a justification of the ideas outlined in the initial mind map.</w:t>
            </w:r>
          </w:p>
          <w:p w14:paraId="297DA455" w14:textId="77777777" w:rsidR="00DB4DCF" w:rsidRPr="00DB4DCF" w:rsidRDefault="00DB4DCF" w:rsidP="00DB4DCF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 xml:space="preserve">An explanation into how and why and how it’s suitable for the brief and target audience will help students to move towards MB2/MB3. </w:t>
            </w:r>
          </w:p>
          <w:p w14:paraId="541616B6" w14:textId="77777777" w:rsidR="00DB4DCF" w:rsidRPr="00DB4DCF" w:rsidRDefault="00DB4DCF" w:rsidP="00DB4DCF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However, this alone would not achieve MB2/MB3</w:t>
            </w:r>
          </w:p>
          <w:p w14:paraId="6E72290B" w14:textId="77777777" w:rsidR="00DB4DCF" w:rsidRPr="00DB4DCF" w:rsidRDefault="00DB4DCF" w:rsidP="00DB4DCF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How and why is likely to achieve MB2.</w:t>
            </w:r>
          </w:p>
          <w:p w14:paraId="4136077F" w14:textId="4E21ADE5" w:rsidR="00DB4DCF" w:rsidRPr="00DB4DCF" w:rsidRDefault="00DB4DCF" w:rsidP="00DB4DCF">
            <w:pPr>
              <w:pStyle w:val="ListParagraph"/>
              <w:numPr>
                <w:ilvl w:val="0"/>
                <w:numId w:val="12"/>
              </w:num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lastRenderedPageBreak/>
              <w:t>Explanation into its suitability to the brief and audience is what is required to move into MB3.</w:t>
            </w:r>
          </w:p>
        </w:tc>
      </w:tr>
      <w:tr w:rsidR="00DB4DCF" w14:paraId="677EACC2" w14:textId="77777777" w:rsidTr="0078435F">
        <w:tc>
          <w:tcPr>
            <w:tcW w:w="1555" w:type="dxa"/>
          </w:tcPr>
          <w:p w14:paraId="6440E7CC" w14:textId="71D95070" w:rsidR="00DB4DCF" w:rsidRDefault="00DB4DCF" w:rsidP="00FC230C">
            <w:pPr>
              <w:rPr>
                <w:rFonts w:ascii="Segoe UI Variable Text" w:hAnsi="Segoe UI Variable Text"/>
                <w:sz w:val="20"/>
                <w:szCs w:val="20"/>
              </w:rPr>
            </w:pPr>
            <w:r>
              <w:rPr>
                <w:rFonts w:ascii="Segoe UI Variable Text" w:hAnsi="Segoe UI Variable Text"/>
                <w:sz w:val="20"/>
                <w:szCs w:val="20"/>
              </w:rPr>
              <w:lastRenderedPageBreak/>
              <w:t>Other notes</w:t>
            </w:r>
          </w:p>
        </w:tc>
        <w:tc>
          <w:tcPr>
            <w:tcW w:w="7461" w:type="dxa"/>
          </w:tcPr>
          <w:p w14:paraId="19419F41" w14:textId="77777777" w:rsidR="00DB4DCF" w:rsidRP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A guidance doc has been provided separately to support students in the teaching and learning phase.</w:t>
            </w:r>
          </w:p>
          <w:p w14:paraId="05873824" w14:textId="77777777" w:rsidR="00DB4DCF" w:rsidRP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</w:p>
          <w:p w14:paraId="29095E98" w14:textId="2F81610C" w:rsidR="00DB4DCF" w:rsidRDefault="00DB4DCF" w:rsidP="00DB4DCF">
            <w:pPr>
              <w:rPr>
                <w:rFonts w:ascii="Segoe UI Variable Text" w:hAnsi="Segoe UI Variable Text"/>
                <w:sz w:val="20"/>
                <w:szCs w:val="20"/>
              </w:rPr>
            </w:pPr>
            <w:r w:rsidRPr="00DB4DCF">
              <w:rPr>
                <w:rFonts w:ascii="Segoe UI Variable Text" w:hAnsi="Segoe UI Variable Text"/>
                <w:sz w:val="20"/>
                <w:szCs w:val="20"/>
              </w:rPr>
              <w:t>The exemplar from the teacher scrapbook can be displayed in the teaching and learning phase.</w:t>
            </w:r>
          </w:p>
        </w:tc>
      </w:tr>
    </w:tbl>
    <w:p w14:paraId="401C9B90" w14:textId="77777777" w:rsidR="0078435F" w:rsidRDefault="0078435F" w:rsidP="00FC230C">
      <w:pPr>
        <w:rPr>
          <w:rFonts w:ascii="Segoe UI Variable Text" w:hAnsi="Segoe UI Variable Text"/>
        </w:rPr>
      </w:pPr>
    </w:p>
    <w:p w14:paraId="1516E239" w14:textId="749C49EB" w:rsidR="00136EB7" w:rsidRPr="0078435F" w:rsidRDefault="00136EB7" w:rsidP="00136EB7">
      <w:pPr>
        <w:rPr>
          <w:rFonts w:ascii="ADLaM Display" w:hAnsi="ADLaM Display" w:cs="ADLaM Display"/>
          <w:sz w:val="28"/>
          <w:szCs w:val="28"/>
        </w:rPr>
      </w:pPr>
      <w:r>
        <w:rPr>
          <w:rFonts w:ascii="ADLaM Display" w:hAnsi="ADLaM Display" w:cs="ADLaM Display"/>
          <w:sz w:val="28"/>
          <w:szCs w:val="28"/>
        </w:rPr>
        <w:t>Link to assessment criteria</w:t>
      </w:r>
      <w:r w:rsidR="00DB4DCF">
        <w:rPr>
          <w:rFonts w:ascii="ADLaM Display" w:hAnsi="ADLaM Display" w:cs="ADLaM Display"/>
          <w:sz w:val="28"/>
          <w:szCs w:val="28"/>
        </w:rPr>
        <w:t xml:space="preserve"> (Mind Map)</w:t>
      </w:r>
    </w:p>
    <w:p w14:paraId="29F77381" w14:textId="19B8DCE4" w:rsidR="00136EB7" w:rsidRDefault="00DB4DCF" w:rsidP="00FC230C">
      <w:pPr>
        <w:rPr>
          <w:rFonts w:ascii="Segoe UI Variable Text" w:hAnsi="Segoe UI Variable Text"/>
        </w:rPr>
      </w:pPr>
      <w:r w:rsidRPr="00DB4DCF">
        <w:rPr>
          <w:rFonts w:ascii="Segoe UI Variable Text" w:hAnsi="Segoe UI Variable Text"/>
        </w:rPr>
        <w:drawing>
          <wp:inline distT="0" distB="0" distL="0" distR="0" wp14:anchorId="63FEDB16" wp14:editId="717FEE0D">
            <wp:extent cx="5731510" cy="1537335"/>
            <wp:effectExtent l="0" t="0" r="2540" b="5715"/>
            <wp:docPr id="118258670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586700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3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A05EF" w14:textId="7D9D3F8C" w:rsidR="00DB4DCF" w:rsidRPr="0078435F" w:rsidRDefault="00DB4DCF" w:rsidP="00DB4DCF">
      <w:pPr>
        <w:rPr>
          <w:rFonts w:ascii="ADLaM Display" w:hAnsi="ADLaM Display" w:cs="ADLaM Display"/>
          <w:sz w:val="28"/>
          <w:szCs w:val="28"/>
        </w:rPr>
      </w:pPr>
      <w:r>
        <w:rPr>
          <w:rFonts w:ascii="ADLaM Display" w:hAnsi="ADLaM Display" w:cs="ADLaM Display"/>
          <w:sz w:val="28"/>
          <w:szCs w:val="28"/>
        </w:rPr>
        <w:t>Link to assessment criteria (</w:t>
      </w:r>
      <w:r>
        <w:rPr>
          <w:rFonts w:ascii="ADLaM Display" w:hAnsi="ADLaM Display" w:cs="ADLaM Display"/>
          <w:sz w:val="28"/>
          <w:szCs w:val="28"/>
        </w:rPr>
        <w:t>Write-up)</w:t>
      </w:r>
    </w:p>
    <w:p w14:paraId="00FC2695" w14:textId="7B404FF3" w:rsidR="00DB4DCF" w:rsidRPr="00FC230C" w:rsidRDefault="00DB4DCF" w:rsidP="00FC230C">
      <w:pPr>
        <w:rPr>
          <w:rFonts w:ascii="Segoe UI Variable Text" w:hAnsi="Segoe UI Variable Text"/>
        </w:rPr>
      </w:pPr>
      <w:r w:rsidRPr="00DB4DCF">
        <w:rPr>
          <w:rFonts w:ascii="Segoe UI Variable Text" w:hAnsi="Segoe UI Variable Text"/>
        </w:rPr>
        <w:drawing>
          <wp:inline distT="0" distB="0" distL="0" distR="0" wp14:anchorId="6D480C8B" wp14:editId="2E0A6C82">
            <wp:extent cx="5731510" cy="1475740"/>
            <wp:effectExtent l="0" t="0" r="2540" b="0"/>
            <wp:docPr id="1205885834" name="Picture 1" descr="A close-up of a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885834" name="Picture 1" descr="A close-up of a pap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DCF" w:rsidRPr="00FC230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06D21" w14:textId="77777777" w:rsidR="00BC5E95" w:rsidRDefault="00BC5E95" w:rsidP="00B23188">
      <w:pPr>
        <w:spacing w:after="0" w:line="240" w:lineRule="auto"/>
      </w:pPr>
      <w:r>
        <w:separator/>
      </w:r>
    </w:p>
  </w:endnote>
  <w:endnote w:type="continuationSeparator" w:id="0">
    <w:p w14:paraId="6D590D04" w14:textId="77777777" w:rsidR="00BC5E95" w:rsidRDefault="00BC5E95" w:rsidP="00B2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F7E65" w14:textId="2EC9839B" w:rsidR="007557ED" w:rsidRPr="000E6ABC" w:rsidRDefault="007557ED">
    <w:pPr>
      <w:pStyle w:val="Footer"/>
      <w:rPr>
        <w:rFonts w:ascii="Segoe UI Variable Text" w:hAnsi="Segoe UI Variable Text"/>
      </w:rPr>
    </w:pPr>
    <w:r>
      <w:rPr>
        <w:noProof/>
      </w:rPr>
      <w:drawing>
        <wp:inline distT="0" distB="0" distL="0" distR="0" wp14:anchorId="68E45DDA" wp14:editId="20E3A89F">
          <wp:extent cx="577850" cy="304816"/>
          <wp:effectExtent l="0" t="0" r="0" b="0"/>
          <wp:docPr id="698440990" name="Picture 1" descr="A black text with a black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8440990" name="Picture 1" descr="A black text with a black arrow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88" cy="308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©SIMPLY TEACH 202</w:t>
    </w:r>
    <w:r w:rsidR="00755533">
      <w:t>4</w:t>
    </w:r>
    <w:r>
      <w:tab/>
    </w:r>
    <w:r w:rsidRPr="000E6ABC">
      <w:rPr>
        <w:rFonts w:ascii="Segoe UI Variable Text" w:hAnsi="Segoe UI Variable Text"/>
      </w:rPr>
      <w:t>www.mysimplyteach.co.uk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ED15D" w14:textId="77777777" w:rsidR="00BC5E95" w:rsidRDefault="00BC5E95" w:rsidP="00B23188">
      <w:pPr>
        <w:spacing w:after="0" w:line="240" w:lineRule="auto"/>
      </w:pPr>
      <w:r>
        <w:separator/>
      </w:r>
    </w:p>
  </w:footnote>
  <w:footnote w:type="continuationSeparator" w:id="0">
    <w:p w14:paraId="27FAA98A" w14:textId="77777777" w:rsidR="00BC5E95" w:rsidRDefault="00BC5E95" w:rsidP="00B23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E5C4B"/>
    <w:multiLevelType w:val="hybridMultilevel"/>
    <w:tmpl w:val="04E87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96248"/>
    <w:multiLevelType w:val="hybridMultilevel"/>
    <w:tmpl w:val="4E405F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720618"/>
    <w:multiLevelType w:val="hybridMultilevel"/>
    <w:tmpl w:val="D644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5F6599"/>
    <w:multiLevelType w:val="hybridMultilevel"/>
    <w:tmpl w:val="B172F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334FE"/>
    <w:multiLevelType w:val="hybridMultilevel"/>
    <w:tmpl w:val="A90A97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F04599"/>
    <w:multiLevelType w:val="hybridMultilevel"/>
    <w:tmpl w:val="6CE63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17651"/>
    <w:multiLevelType w:val="hybridMultilevel"/>
    <w:tmpl w:val="434E56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75B6"/>
    <w:multiLevelType w:val="hybridMultilevel"/>
    <w:tmpl w:val="2598B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831E7"/>
    <w:multiLevelType w:val="hybridMultilevel"/>
    <w:tmpl w:val="CEAE9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9C2279"/>
    <w:multiLevelType w:val="hybridMultilevel"/>
    <w:tmpl w:val="5CF22230"/>
    <w:lvl w:ilvl="0" w:tplc="130C25F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71CB1"/>
    <w:multiLevelType w:val="hybridMultilevel"/>
    <w:tmpl w:val="29002A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081C6E"/>
    <w:multiLevelType w:val="hybridMultilevel"/>
    <w:tmpl w:val="BF3C0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3524868">
    <w:abstractNumId w:val="9"/>
  </w:num>
  <w:num w:numId="2" w16cid:durableId="1237015614">
    <w:abstractNumId w:val="4"/>
  </w:num>
  <w:num w:numId="3" w16cid:durableId="919750459">
    <w:abstractNumId w:val="6"/>
  </w:num>
  <w:num w:numId="4" w16cid:durableId="1261988863">
    <w:abstractNumId w:val="8"/>
  </w:num>
  <w:num w:numId="5" w16cid:durableId="2051760558">
    <w:abstractNumId w:val="2"/>
  </w:num>
  <w:num w:numId="6" w16cid:durableId="1390349725">
    <w:abstractNumId w:val="11"/>
  </w:num>
  <w:num w:numId="7" w16cid:durableId="775100841">
    <w:abstractNumId w:val="1"/>
  </w:num>
  <w:num w:numId="8" w16cid:durableId="1288968125">
    <w:abstractNumId w:val="10"/>
  </w:num>
  <w:num w:numId="9" w16cid:durableId="457145520">
    <w:abstractNumId w:val="7"/>
  </w:num>
  <w:num w:numId="10" w16cid:durableId="995836746">
    <w:abstractNumId w:val="3"/>
  </w:num>
  <w:num w:numId="11" w16cid:durableId="749547701">
    <w:abstractNumId w:val="5"/>
  </w:num>
  <w:num w:numId="12" w16cid:durableId="719280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88"/>
    <w:rsid w:val="000014BB"/>
    <w:rsid w:val="00050180"/>
    <w:rsid w:val="000E6ABC"/>
    <w:rsid w:val="00136EB7"/>
    <w:rsid w:val="00206457"/>
    <w:rsid w:val="002153C4"/>
    <w:rsid w:val="00274974"/>
    <w:rsid w:val="00285568"/>
    <w:rsid w:val="00296991"/>
    <w:rsid w:val="003B5EFF"/>
    <w:rsid w:val="003C3986"/>
    <w:rsid w:val="003D2DAF"/>
    <w:rsid w:val="003D5E15"/>
    <w:rsid w:val="00430F6A"/>
    <w:rsid w:val="004E3CB7"/>
    <w:rsid w:val="00540C58"/>
    <w:rsid w:val="00641D82"/>
    <w:rsid w:val="00641D8D"/>
    <w:rsid w:val="00664767"/>
    <w:rsid w:val="00664B31"/>
    <w:rsid w:val="006C75DC"/>
    <w:rsid w:val="00716FEA"/>
    <w:rsid w:val="0074211E"/>
    <w:rsid w:val="00755533"/>
    <w:rsid w:val="007557ED"/>
    <w:rsid w:val="0078435F"/>
    <w:rsid w:val="007972FF"/>
    <w:rsid w:val="008E3B81"/>
    <w:rsid w:val="009305FD"/>
    <w:rsid w:val="00A1785B"/>
    <w:rsid w:val="00A2691F"/>
    <w:rsid w:val="00A325BD"/>
    <w:rsid w:val="00A354C8"/>
    <w:rsid w:val="00A436FB"/>
    <w:rsid w:val="00A53B82"/>
    <w:rsid w:val="00A816BF"/>
    <w:rsid w:val="00A9294C"/>
    <w:rsid w:val="00A97C4D"/>
    <w:rsid w:val="00AA047E"/>
    <w:rsid w:val="00AA6A72"/>
    <w:rsid w:val="00AB13C6"/>
    <w:rsid w:val="00AC1A64"/>
    <w:rsid w:val="00AF230F"/>
    <w:rsid w:val="00B00D3D"/>
    <w:rsid w:val="00B039BB"/>
    <w:rsid w:val="00B23188"/>
    <w:rsid w:val="00B75A05"/>
    <w:rsid w:val="00B841A8"/>
    <w:rsid w:val="00BC3D34"/>
    <w:rsid w:val="00BC5E95"/>
    <w:rsid w:val="00C1299D"/>
    <w:rsid w:val="00D01037"/>
    <w:rsid w:val="00D03EE4"/>
    <w:rsid w:val="00D03FFF"/>
    <w:rsid w:val="00D33E84"/>
    <w:rsid w:val="00D87255"/>
    <w:rsid w:val="00D95835"/>
    <w:rsid w:val="00DB4DCF"/>
    <w:rsid w:val="00DC6CE6"/>
    <w:rsid w:val="00E4648D"/>
    <w:rsid w:val="00E85CE5"/>
    <w:rsid w:val="00F4274D"/>
    <w:rsid w:val="00F67CA2"/>
    <w:rsid w:val="00F85FB7"/>
    <w:rsid w:val="00F928B5"/>
    <w:rsid w:val="00FB7FC5"/>
    <w:rsid w:val="00FC230C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C1915"/>
  <w15:chartTrackingRefBased/>
  <w15:docId w15:val="{1E272F5B-EA2A-487D-9F4D-20C9F46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188"/>
  </w:style>
  <w:style w:type="paragraph" w:styleId="Footer">
    <w:name w:val="footer"/>
    <w:basedOn w:val="Normal"/>
    <w:link w:val="FooterChar"/>
    <w:uiPriority w:val="99"/>
    <w:unhideWhenUsed/>
    <w:rsid w:val="00B231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188"/>
  </w:style>
  <w:style w:type="paragraph" w:styleId="ListParagraph">
    <w:name w:val="List Paragraph"/>
    <w:basedOn w:val="Normal"/>
    <w:uiPriority w:val="34"/>
    <w:qFormat/>
    <w:rsid w:val="00B039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7C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7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Simply Teach</dc:creator>
  <cp:keywords/>
  <dc:description/>
  <cp:lastModifiedBy>Corbett, DC (Staff, Parks House)</cp:lastModifiedBy>
  <cp:revision>3</cp:revision>
  <dcterms:created xsi:type="dcterms:W3CDTF">2024-11-12T21:05:00Z</dcterms:created>
  <dcterms:modified xsi:type="dcterms:W3CDTF">2024-11-12T21:13:00Z</dcterms:modified>
</cp:coreProperties>
</file>